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1B" w:rsidRDefault="0020431B" w:rsidP="0020431B">
      <w:pPr>
        <w:shd w:val="clear" w:color="auto" w:fill="FFFFFF"/>
        <w:spacing w:before="206" w:after="0" w:line="206" w:lineRule="atLeast"/>
        <w:jc w:val="both"/>
        <w:outlineLvl w:val="2"/>
        <w:rPr>
          <w:rFonts w:ascii="Arial" w:eastAsia="Times New Roman" w:hAnsi="Arial" w:cs="Arial"/>
          <w:color w:val="003269"/>
          <w:sz w:val="19"/>
          <w:szCs w:val="19"/>
          <w:lang w:eastAsia="nl-BE"/>
        </w:rPr>
      </w:pPr>
      <w:r>
        <w:rPr>
          <w:rFonts w:ascii="Arial" w:eastAsia="Times New Roman" w:hAnsi="Arial" w:cs="Arial"/>
          <w:color w:val="003269"/>
          <w:sz w:val="19"/>
          <w:szCs w:val="19"/>
          <w:lang w:eastAsia="nl-BE"/>
        </w:rPr>
        <w:t>RECHTSBIJSTAND :</w:t>
      </w:r>
    </w:p>
    <w:p w:rsidR="0020431B" w:rsidRPr="0020431B" w:rsidRDefault="0020431B" w:rsidP="0020431B">
      <w:pPr>
        <w:shd w:val="clear" w:color="auto" w:fill="FFFFFF"/>
        <w:spacing w:before="206" w:after="0" w:line="206" w:lineRule="atLeast"/>
        <w:jc w:val="both"/>
        <w:outlineLvl w:val="2"/>
        <w:rPr>
          <w:rFonts w:ascii="Arial" w:eastAsia="Times New Roman" w:hAnsi="Arial" w:cs="Arial"/>
          <w:color w:val="003269"/>
          <w:sz w:val="19"/>
          <w:szCs w:val="19"/>
          <w:lang w:eastAsia="nl-BE"/>
        </w:rPr>
      </w:pPr>
      <w:r w:rsidRPr="0020431B">
        <w:rPr>
          <w:rFonts w:ascii="Arial" w:eastAsia="Times New Roman" w:hAnsi="Arial" w:cs="Arial"/>
          <w:color w:val="003269"/>
          <w:sz w:val="19"/>
          <w:szCs w:val="19"/>
          <w:lang w:eastAsia="nl-BE"/>
        </w:rPr>
        <w:t>D.A.S. SPECIAAL - Rolrechten</w:t>
      </w:r>
    </w:p>
    <w:tbl>
      <w:tblPr>
        <w:tblW w:w="5000" w:type="pct"/>
        <w:tblCellMar>
          <w:left w:w="0" w:type="dxa"/>
          <w:right w:w="0" w:type="dxa"/>
        </w:tblCellMar>
        <w:tblLook w:val="04A0"/>
      </w:tblPr>
      <w:tblGrid>
        <w:gridCol w:w="9072"/>
      </w:tblGrid>
      <w:tr w:rsidR="0020431B" w:rsidRPr="0020431B" w:rsidTr="0020431B">
        <w:tc>
          <w:tcPr>
            <w:tcW w:w="32767" w:type="dxa"/>
            <w:tcMar>
              <w:top w:w="107" w:type="dxa"/>
              <w:left w:w="0" w:type="dxa"/>
              <w:bottom w:w="107" w:type="dxa"/>
              <w:right w:w="0" w:type="dxa"/>
            </w:tcMar>
            <w:hideMark/>
          </w:tcPr>
          <w:tbl>
            <w:tblPr>
              <w:tblW w:w="5000" w:type="pct"/>
              <w:tblCellMar>
                <w:left w:w="54" w:type="dxa"/>
                <w:right w:w="0" w:type="dxa"/>
              </w:tblCellMar>
              <w:tblLook w:val="04A0"/>
            </w:tblPr>
            <w:tblGrid>
              <w:gridCol w:w="9072"/>
            </w:tblGrid>
            <w:tr w:rsidR="0020431B" w:rsidRPr="0020431B" w:rsidTr="0020431B">
              <w:tc>
                <w:tcPr>
                  <w:tcW w:w="0" w:type="auto"/>
                  <w:tcMar>
                    <w:top w:w="107" w:type="dxa"/>
                    <w:left w:w="54" w:type="dxa"/>
                    <w:bottom w:w="107" w:type="dxa"/>
                    <w:right w:w="0" w:type="dxa"/>
                  </w:tcMar>
                  <w:hideMark/>
                </w:tcPr>
                <w:tbl>
                  <w:tblPr>
                    <w:tblW w:w="5000" w:type="pct"/>
                    <w:tblCellMar>
                      <w:left w:w="0" w:type="dxa"/>
                      <w:right w:w="0" w:type="dxa"/>
                    </w:tblCellMar>
                    <w:tblLook w:val="04A0"/>
                  </w:tblPr>
                  <w:tblGrid>
                    <w:gridCol w:w="9018"/>
                  </w:tblGrid>
                  <w:tr w:rsidR="0020431B" w:rsidRPr="0020431B" w:rsidTr="0020431B">
                    <w:tc>
                      <w:tcPr>
                        <w:tcW w:w="5000" w:type="pct"/>
                        <w:shd w:val="clear" w:color="auto" w:fill="FFFFFF"/>
                        <w:tcMar>
                          <w:top w:w="107" w:type="dxa"/>
                          <w:left w:w="0" w:type="dxa"/>
                          <w:bottom w:w="107" w:type="dxa"/>
                          <w:right w:w="0" w:type="dxa"/>
                        </w:tcMar>
                        <w:hideMark/>
                      </w:tcPr>
                      <w:p w:rsidR="0020431B" w:rsidRPr="0020431B" w:rsidRDefault="0020431B" w:rsidP="0020431B">
                        <w:pPr>
                          <w:spacing w:after="0" w:line="360" w:lineRule="atLeast"/>
                          <w:jc w:val="right"/>
                          <w:rPr>
                            <w:rFonts w:ascii="Times New Roman" w:eastAsia="Times New Roman" w:hAnsi="Times New Roman" w:cs="Times New Roman"/>
                            <w:color w:val="333333"/>
                            <w:sz w:val="13"/>
                            <w:szCs w:val="13"/>
                            <w:lang w:eastAsia="nl-BE"/>
                          </w:rPr>
                        </w:pPr>
                      </w:p>
                      <w:p w:rsidR="0020431B" w:rsidRPr="0020431B" w:rsidRDefault="0020431B" w:rsidP="0020431B">
                        <w:pPr>
                          <w:spacing w:after="0" w:line="360" w:lineRule="atLeast"/>
                          <w:jc w:val="both"/>
                          <w:rPr>
                            <w:rFonts w:ascii="Times New Roman" w:eastAsia="Times New Roman" w:hAnsi="Times New Roman" w:cs="Times New Roman"/>
                            <w:color w:val="333333"/>
                            <w:sz w:val="13"/>
                            <w:szCs w:val="13"/>
                            <w:lang w:eastAsia="nl-BE"/>
                          </w:rPr>
                        </w:pPr>
                        <w:r w:rsidRPr="0020431B">
                          <w:rPr>
                            <w:rFonts w:ascii="Times New Roman" w:eastAsia="Times New Roman" w:hAnsi="Times New Roman" w:cs="Times New Roman"/>
                            <w:color w:val="333333"/>
                            <w:sz w:val="13"/>
                            <w:szCs w:val="13"/>
                            <w:lang w:eastAsia="nl-BE"/>
                          </w:rPr>
                          <w:br/>
                        </w:r>
                        <w:r w:rsidRPr="0020431B">
                          <w:rPr>
                            <w:rFonts w:ascii="Verdana" w:eastAsia="Times New Roman" w:hAnsi="Verdana" w:cs="Times New Roman"/>
                            <w:b/>
                            <w:bCs/>
                            <w:color w:val="003269"/>
                            <w:sz w:val="13"/>
                            <w:szCs w:val="13"/>
                            <w:lang w:eastAsia="nl-BE"/>
                          </w:rPr>
                          <w:t>Goed om weten. Vertel het verder.</w:t>
                        </w:r>
                      </w:p>
                      <w:p w:rsidR="0020431B" w:rsidRPr="0020431B" w:rsidRDefault="0020431B" w:rsidP="0020431B">
                        <w:pPr>
                          <w:spacing w:after="0" w:line="360" w:lineRule="atLeast"/>
                          <w:jc w:val="both"/>
                          <w:rPr>
                            <w:rFonts w:ascii="Times New Roman" w:eastAsia="Times New Roman" w:hAnsi="Times New Roman" w:cs="Times New Roman"/>
                            <w:color w:val="333333"/>
                            <w:sz w:val="13"/>
                            <w:szCs w:val="13"/>
                            <w:lang w:eastAsia="nl-BE"/>
                          </w:rPr>
                        </w:pPr>
                        <w:r w:rsidRPr="0020431B">
                          <w:rPr>
                            <w:rFonts w:ascii="Verdana" w:eastAsia="Times New Roman" w:hAnsi="Verdana" w:cs="Times New Roman"/>
                            <w:b/>
                            <w:bCs/>
                            <w:color w:val="003269"/>
                            <w:sz w:val="13"/>
                            <w:szCs w:val="13"/>
                            <w:lang w:eastAsia="nl-BE"/>
                          </w:rPr>
                          <w:t>Hoe hoger de waarde van de vordering, hoe hoger de rolrechten!</w:t>
                        </w:r>
                      </w:p>
                      <w:p w:rsidR="0020431B" w:rsidRPr="0020431B" w:rsidRDefault="0020431B" w:rsidP="0020431B">
                        <w:pPr>
                          <w:spacing w:after="0" w:line="360" w:lineRule="atLeast"/>
                          <w:jc w:val="both"/>
                          <w:rPr>
                            <w:rFonts w:ascii="Times New Roman" w:eastAsia="Times New Roman" w:hAnsi="Times New Roman" w:cs="Times New Roman"/>
                            <w:color w:val="333333"/>
                            <w:sz w:val="13"/>
                            <w:szCs w:val="13"/>
                            <w:lang w:eastAsia="nl-BE"/>
                          </w:rPr>
                        </w:pPr>
                        <w:r w:rsidRPr="0020431B">
                          <w:rPr>
                            <w:rFonts w:ascii="Verdana" w:eastAsia="Times New Roman" w:hAnsi="Verdana" w:cs="Times New Roman"/>
                            <w:b/>
                            <w:bCs/>
                            <w:color w:val="003269"/>
                            <w:sz w:val="13"/>
                            <w:szCs w:val="13"/>
                            <w:lang w:eastAsia="nl-BE"/>
                          </w:rPr>
                          <w:t>De nieuwe wet op de hervorming van de inschrijvingsrechten is op 1 juni 2015 in werking getreden.</w:t>
                        </w:r>
                      </w:p>
                      <w:p w:rsidR="0020431B" w:rsidRPr="0020431B" w:rsidRDefault="0020431B" w:rsidP="0020431B">
                        <w:pPr>
                          <w:spacing w:after="0" w:line="360" w:lineRule="atLeast"/>
                          <w:jc w:val="center"/>
                          <w:rPr>
                            <w:rFonts w:ascii="Times New Roman" w:eastAsia="Times New Roman" w:hAnsi="Times New Roman" w:cs="Times New Roman"/>
                            <w:color w:val="333333"/>
                            <w:sz w:val="13"/>
                            <w:szCs w:val="13"/>
                            <w:lang w:eastAsia="nl-BE"/>
                          </w:rPr>
                        </w:pPr>
                        <w:r w:rsidRPr="0020431B">
                          <w:rPr>
                            <w:rFonts w:ascii="Times New Roman" w:eastAsia="Times New Roman" w:hAnsi="Times New Roman" w:cs="Times New Roman"/>
                            <w:color w:val="333333"/>
                            <w:sz w:val="13"/>
                            <w:szCs w:val="13"/>
                            <w:lang w:eastAsia="nl-BE"/>
                          </w:rPr>
                          <w:br/>
                        </w:r>
                        <w:r>
                          <w:rPr>
                            <w:rFonts w:ascii="Times New Roman" w:eastAsia="Times New Roman" w:hAnsi="Times New Roman" w:cs="Times New Roman"/>
                            <w:noProof/>
                            <w:color w:val="333333"/>
                            <w:sz w:val="13"/>
                            <w:szCs w:val="13"/>
                            <w:lang w:eastAsia="nl-BE"/>
                          </w:rPr>
                          <w:drawing>
                            <wp:inline distT="0" distB="0" distL="0" distR="0">
                              <wp:extent cx="4763135" cy="3180080"/>
                              <wp:effectExtent l="19050" t="0" r="0" b="0"/>
                              <wp:docPr id="1" name="Afbeelding 1" descr="http://www.das.be/das/EWCM/ewcm.nsf/0/a73c345cdcf5f441c1257e7e002468f4/PageBody/0.63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s.be/das/EWCM/ewcm.nsf/0/a73c345cdcf5f441c1257e7e002468f4/PageBody/0.636?OpenElement&amp;FieldElemFormat=jpg"/>
                                      <pic:cNvPicPr>
                                        <a:picLocks noChangeAspect="1" noChangeArrowheads="1"/>
                                      </pic:cNvPicPr>
                                    </pic:nvPicPr>
                                    <pic:blipFill>
                                      <a:blip r:embed="rId5" cstate="print"/>
                                      <a:srcRect/>
                                      <a:stretch>
                                        <a:fillRect/>
                                      </a:stretch>
                                    </pic:blipFill>
                                    <pic:spPr bwMode="auto">
                                      <a:xfrm>
                                        <a:off x="0" y="0"/>
                                        <a:ext cx="4763135" cy="3180080"/>
                                      </a:xfrm>
                                      <a:prstGeom prst="rect">
                                        <a:avLst/>
                                      </a:prstGeom>
                                      <a:noFill/>
                                      <a:ln w="9525">
                                        <a:noFill/>
                                        <a:miter lim="800000"/>
                                        <a:headEnd/>
                                        <a:tailEnd/>
                                      </a:ln>
                                    </pic:spPr>
                                  </pic:pic>
                                </a:graphicData>
                              </a:graphic>
                            </wp:inline>
                          </w:drawing>
                        </w:r>
                      </w:p>
                      <w:p w:rsidR="0020431B" w:rsidRPr="0020431B" w:rsidRDefault="0020431B" w:rsidP="0020431B">
                        <w:pPr>
                          <w:spacing w:after="0" w:line="360" w:lineRule="atLeast"/>
                          <w:jc w:val="both"/>
                          <w:rPr>
                            <w:rFonts w:ascii="Times New Roman" w:eastAsia="Times New Roman" w:hAnsi="Times New Roman" w:cs="Times New Roman"/>
                            <w:color w:val="333333"/>
                            <w:sz w:val="13"/>
                            <w:szCs w:val="13"/>
                            <w:lang w:eastAsia="nl-BE"/>
                          </w:rPr>
                        </w:pPr>
                        <w:r w:rsidRPr="0020431B">
                          <w:rPr>
                            <w:rFonts w:ascii="Times New Roman" w:eastAsia="Times New Roman" w:hAnsi="Times New Roman" w:cs="Times New Roman"/>
                            <w:color w:val="333333"/>
                            <w:sz w:val="13"/>
                            <w:szCs w:val="13"/>
                            <w:lang w:eastAsia="nl-BE"/>
                          </w:rPr>
                          <w:br/>
                        </w:r>
                        <w:r w:rsidRPr="0020431B">
                          <w:rPr>
                            <w:rFonts w:ascii="Verdana" w:eastAsia="Times New Roman" w:hAnsi="Verdana" w:cs="Times New Roman"/>
                            <w:color w:val="003269"/>
                            <w:sz w:val="13"/>
                            <w:szCs w:val="13"/>
                            <w:lang w:eastAsia="nl-BE"/>
                          </w:rPr>
                          <w:t>Als iemand beroep wil doen op ons gerechtelijk apparaat wordt dat ‘op de rol gezet’. Dat was vroeger zo en dat blijft ook zo, maar de berekeningswijze verandert. Het rolrecht wordt in de toekomst berekend in verhouding tot de vordering. Bij het neerleggen van de inleidende akte zal de waarde van het rolrecht worden berekend.</w:t>
                        </w:r>
                      </w:p>
                      <w:p w:rsidR="0020431B" w:rsidRPr="0020431B" w:rsidRDefault="0020431B" w:rsidP="0020431B">
                        <w:pPr>
                          <w:spacing w:after="0" w:line="360" w:lineRule="atLeast"/>
                          <w:jc w:val="both"/>
                          <w:rPr>
                            <w:rFonts w:ascii="Times New Roman" w:eastAsia="Times New Roman" w:hAnsi="Times New Roman" w:cs="Times New Roman"/>
                            <w:color w:val="333333"/>
                            <w:sz w:val="13"/>
                            <w:szCs w:val="13"/>
                            <w:lang w:eastAsia="nl-BE"/>
                          </w:rPr>
                        </w:pPr>
                        <w:r w:rsidRPr="0020431B">
                          <w:rPr>
                            <w:rFonts w:ascii="Verdana" w:eastAsia="Times New Roman" w:hAnsi="Verdana" w:cs="Times New Roman"/>
                            <w:color w:val="003269"/>
                            <w:sz w:val="13"/>
                            <w:szCs w:val="13"/>
                            <w:lang w:eastAsia="nl-BE"/>
                          </w:rPr>
                          <w:t>Nieuwe wetten hebben dikwijls verrassende financiële gevolgen. Cliënten weten vaak niet dat ze, gewoon om een zaak voor de rechtbank te brengen, moeten betalen. Vandaag meer dan vroeger, in verhouding tot hun vordering.</w:t>
                        </w:r>
                      </w:p>
                      <w:p w:rsidR="0020431B" w:rsidRPr="0020431B" w:rsidRDefault="0020431B" w:rsidP="0020431B">
                        <w:pPr>
                          <w:spacing w:after="0" w:line="360" w:lineRule="atLeast"/>
                          <w:jc w:val="both"/>
                          <w:rPr>
                            <w:rFonts w:ascii="Times New Roman" w:eastAsia="Times New Roman" w:hAnsi="Times New Roman" w:cs="Times New Roman"/>
                            <w:color w:val="333333"/>
                            <w:sz w:val="13"/>
                            <w:szCs w:val="13"/>
                            <w:lang w:eastAsia="nl-BE"/>
                          </w:rPr>
                        </w:pPr>
                        <w:r w:rsidRPr="0020431B">
                          <w:rPr>
                            <w:rFonts w:ascii="Verdana" w:eastAsia="Times New Roman" w:hAnsi="Verdana" w:cs="Times New Roman"/>
                            <w:color w:val="003269"/>
                            <w:sz w:val="13"/>
                            <w:szCs w:val="13"/>
                            <w:lang w:eastAsia="nl-BE"/>
                          </w:rPr>
                          <w:t>Een D.A.S.-polis rechtsbijstand verlaagt de drempel naar de rechtbank. Uw D.A.S.-klanten moeten nooit om financiële redenen aarzelen hun rechten op te eisen. Ook bij verhoogde rolrechten kunnen zij op D.A.S. rekenen.</w:t>
                        </w:r>
                      </w:p>
                      <w:p w:rsidR="0020431B" w:rsidRPr="0020431B" w:rsidRDefault="0020431B" w:rsidP="0020431B">
                        <w:pPr>
                          <w:spacing w:after="0" w:line="360" w:lineRule="atLeast"/>
                          <w:jc w:val="both"/>
                          <w:rPr>
                            <w:rFonts w:ascii="Times New Roman" w:eastAsia="Times New Roman" w:hAnsi="Times New Roman" w:cs="Times New Roman"/>
                            <w:color w:val="333333"/>
                            <w:sz w:val="13"/>
                            <w:szCs w:val="13"/>
                            <w:lang w:eastAsia="nl-BE"/>
                          </w:rPr>
                        </w:pPr>
                        <w:r w:rsidRPr="0020431B">
                          <w:rPr>
                            <w:rFonts w:ascii="Verdana" w:eastAsia="Times New Roman" w:hAnsi="Verdana" w:cs="Times New Roman"/>
                            <w:color w:val="003269"/>
                            <w:sz w:val="13"/>
                            <w:szCs w:val="13"/>
                            <w:lang w:eastAsia="nl-BE"/>
                          </w:rPr>
                          <w:t xml:space="preserve">Na de verhoogde </w:t>
                        </w:r>
                        <w:proofErr w:type="spellStart"/>
                        <w:r w:rsidRPr="0020431B">
                          <w:rPr>
                            <w:rFonts w:ascii="Verdana" w:eastAsia="Times New Roman" w:hAnsi="Verdana" w:cs="Times New Roman"/>
                            <w:color w:val="003269"/>
                            <w:sz w:val="13"/>
                            <w:szCs w:val="13"/>
                            <w:lang w:eastAsia="nl-BE"/>
                          </w:rPr>
                          <w:t>rechtsplegingsvergoeding</w:t>
                        </w:r>
                        <w:proofErr w:type="spellEnd"/>
                        <w:r w:rsidRPr="0020431B">
                          <w:rPr>
                            <w:rFonts w:ascii="Verdana" w:eastAsia="Times New Roman" w:hAnsi="Verdana" w:cs="Times New Roman"/>
                            <w:color w:val="003269"/>
                            <w:sz w:val="13"/>
                            <w:szCs w:val="13"/>
                            <w:lang w:eastAsia="nl-BE"/>
                          </w:rPr>
                          <w:t xml:space="preserve"> en de BTW op de erelonen van advocaten is dit opnieuw een bijkomend argument om uw klanten te overtuigen een polis rechtsbijstand te onderschrijven.</w:t>
                        </w:r>
                      </w:p>
                      <w:p w:rsidR="0020431B" w:rsidRPr="0020431B" w:rsidRDefault="0020431B" w:rsidP="0020431B">
                        <w:pPr>
                          <w:spacing w:after="0" w:line="360" w:lineRule="atLeast"/>
                          <w:jc w:val="both"/>
                          <w:rPr>
                            <w:rFonts w:ascii="Times New Roman" w:eastAsia="Times New Roman" w:hAnsi="Times New Roman" w:cs="Times New Roman"/>
                            <w:color w:val="333333"/>
                            <w:sz w:val="13"/>
                            <w:szCs w:val="13"/>
                            <w:lang w:eastAsia="nl-BE"/>
                          </w:rPr>
                        </w:pPr>
                        <w:r w:rsidRPr="0020431B">
                          <w:rPr>
                            <w:rFonts w:ascii="Verdana" w:eastAsia="Times New Roman" w:hAnsi="Verdana" w:cs="Times New Roman"/>
                            <w:color w:val="003269"/>
                            <w:sz w:val="13"/>
                            <w:szCs w:val="13"/>
                            <w:lang w:eastAsia="nl-BE"/>
                          </w:rPr>
                          <w:t>De toegang tot de rechtbank kost veel geld, rechtsbijstand wint sterk aan belang!</w:t>
                        </w:r>
                        <w:r w:rsidRPr="0020431B">
                          <w:rPr>
                            <w:rFonts w:ascii="Verdana" w:eastAsia="Times New Roman" w:hAnsi="Verdana" w:cs="Times New Roman"/>
                            <w:color w:val="003269"/>
                            <w:sz w:val="13"/>
                            <w:lang w:eastAsia="nl-BE"/>
                          </w:rPr>
                          <w:t> </w:t>
                        </w:r>
                        <w:r w:rsidRPr="0020431B">
                          <w:rPr>
                            <w:rFonts w:ascii="Verdana" w:eastAsia="Times New Roman" w:hAnsi="Verdana" w:cs="Times New Roman"/>
                            <w:b/>
                            <w:bCs/>
                            <w:color w:val="003269"/>
                            <w:sz w:val="13"/>
                            <w:szCs w:val="13"/>
                            <w:lang w:eastAsia="nl-BE"/>
                          </w:rPr>
                          <w:br/>
                        </w:r>
                        <w:r w:rsidRPr="0020431B">
                          <w:rPr>
                            <w:rFonts w:ascii="Verdana" w:eastAsia="Times New Roman" w:hAnsi="Verdana" w:cs="Times New Roman"/>
                            <w:b/>
                            <w:bCs/>
                            <w:color w:val="003269"/>
                            <w:sz w:val="13"/>
                            <w:szCs w:val="13"/>
                            <w:lang w:eastAsia="nl-BE"/>
                          </w:rPr>
                          <w:br/>
                        </w:r>
                        <w:r w:rsidRPr="0020431B">
                          <w:rPr>
                            <w:rFonts w:ascii="Verdana" w:eastAsia="Times New Roman" w:hAnsi="Verdana" w:cs="Times New Roman"/>
                            <w:b/>
                            <w:bCs/>
                            <w:i/>
                            <w:iCs/>
                            <w:color w:val="7892BA"/>
                            <w:sz w:val="13"/>
                            <w:szCs w:val="13"/>
                            <w:lang w:eastAsia="nl-BE"/>
                          </w:rPr>
                          <w:t>Wat zijn rolrechten?</w:t>
                        </w:r>
                      </w:p>
                      <w:p w:rsidR="0020431B" w:rsidRPr="0020431B" w:rsidRDefault="0020431B" w:rsidP="0020431B">
                        <w:pPr>
                          <w:spacing w:after="0" w:line="360" w:lineRule="atLeast"/>
                          <w:jc w:val="both"/>
                          <w:rPr>
                            <w:rFonts w:ascii="Times New Roman" w:eastAsia="Times New Roman" w:hAnsi="Times New Roman" w:cs="Times New Roman"/>
                            <w:color w:val="333333"/>
                            <w:sz w:val="13"/>
                            <w:szCs w:val="13"/>
                            <w:lang w:eastAsia="nl-BE"/>
                          </w:rPr>
                        </w:pPr>
                        <w:r w:rsidRPr="0020431B">
                          <w:rPr>
                            <w:rFonts w:ascii="Verdana" w:eastAsia="Times New Roman" w:hAnsi="Verdana" w:cs="Times New Roman"/>
                            <w:color w:val="003269"/>
                            <w:sz w:val="13"/>
                            <w:szCs w:val="13"/>
                            <w:lang w:eastAsia="nl-BE"/>
                          </w:rPr>
                          <w:t>Dit zijn de taksen die betaald moeten worden om een zaak op de agenda te plaatsen.</w:t>
                        </w:r>
                      </w:p>
                      <w:p w:rsidR="0020431B" w:rsidRPr="0020431B" w:rsidRDefault="0020431B" w:rsidP="0020431B">
                        <w:pPr>
                          <w:spacing w:after="0" w:line="360" w:lineRule="atLeast"/>
                          <w:jc w:val="both"/>
                          <w:rPr>
                            <w:rFonts w:ascii="Times New Roman" w:eastAsia="Times New Roman" w:hAnsi="Times New Roman" w:cs="Times New Roman"/>
                            <w:color w:val="333333"/>
                            <w:sz w:val="13"/>
                            <w:szCs w:val="13"/>
                            <w:lang w:eastAsia="nl-BE"/>
                          </w:rPr>
                        </w:pPr>
                        <w:r w:rsidRPr="0020431B">
                          <w:rPr>
                            <w:rFonts w:ascii="Verdana" w:eastAsia="Times New Roman" w:hAnsi="Verdana" w:cs="Times New Roman"/>
                            <w:b/>
                            <w:bCs/>
                            <w:i/>
                            <w:iCs/>
                            <w:color w:val="7892BA"/>
                            <w:sz w:val="13"/>
                            <w:szCs w:val="13"/>
                            <w:lang w:eastAsia="nl-BE"/>
                          </w:rPr>
                          <w:lastRenderedPageBreak/>
                          <w:br/>
                          <w:t>Wat is het doel van de wetgever?</w:t>
                        </w:r>
                      </w:p>
                      <w:p w:rsidR="0020431B" w:rsidRPr="0020431B" w:rsidRDefault="0020431B" w:rsidP="0020431B">
                        <w:pPr>
                          <w:spacing w:after="0" w:line="360" w:lineRule="atLeast"/>
                          <w:jc w:val="both"/>
                          <w:rPr>
                            <w:rFonts w:ascii="Times New Roman" w:eastAsia="Times New Roman" w:hAnsi="Times New Roman" w:cs="Times New Roman"/>
                            <w:color w:val="333333"/>
                            <w:sz w:val="13"/>
                            <w:szCs w:val="13"/>
                            <w:lang w:eastAsia="nl-BE"/>
                          </w:rPr>
                        </w:pPr>
                        <w:r w:rsidRPr="0020431B">
                          <w:rPr>
                            <w:rFonts w:ascii="Verdana" w:eastAsia="Times New Roman" w:hAnsi="Verdana" w:cs="Times New Roman"/>
                            <w:color w:val="003269"/>
                            <w:sz w:val="13"/>
                            <w:szCs w:val="13"/>
                            <w:lang w:eastAsia="nl-BE"/>
                          </w:rPr>
                          <w:t>Enerzijds om de rolrechten proportioneel aan de werklast van het geding aan te passen en anderzijds om lichtzinnige roekeloze procedures die de rechtbanken overbelasten te ontmoedigen.</w:t>
                        </w:r>
                      </w:p>
                      <w:p w:rsidR="0020431B" w:rsidRPr="0020431B" w:rsidRDefault="0020431B" w:rsidP="0020431B">
                        <w:pPr>
                          <w:spacing w:after="0" w:line="360" w:lineRule="atLeast"/>
                          <w:jc w:val="both"/>
                          <w:rPr>
                            <w:rFonts w:ascii="Times New Roman" w:eastAsia="Times New Roman" w:hAnsi="Times New Roman" w:cs="Times New Roman"/>
                            <w:color w:val="333333"/>
                            <w:sz w:val="13"/>
                            <w:szCs w:val="13"/>
                            <w:lang w:eastAsia="nl-BE"/>
                          </w:rPr>
                        </w:pPr>
                        <w:r w:rsidRPr="0020431B">
                          <w:rPr>
                            <w:rFonts w:ascii="Verdana" w:eastAsia="Times New Roman" w:hAnsi="Verdana" w:cs="Times New Roman"/>
                            <w:b/>
                            <w:bCs/>
                            <w:i/>
                            <w:iCs/>
                            <w:color w:val="7892BA"/>
                            <w:sz w:val="13"/>
                            <w:szCs w:val="13"/>
                            <w:lang w:eastAsia="nl-BE"/>
                          </w:rPr>
                          <w:br/>
                          <w:t>Wat zijn de belangrijkste nieuwigheden?</w:t>
                        </w:r>
                      </w:p>
                      <w:p w:rsidR="0020431B" w:rsidRPr="0020431B" w:rsidRDefault="0020431B" w:rsidP="0020431B">
                        <w:pPr>
                          <w:numPr>
                            <w:ilvl w:val="0"/>
                            <w:numId w:val="1"/>
                          </w:numPr>
                          <w:spacing w:after="240" w:line="360" w:lineRule="atLeast"/>
                          <w:ind w:left="432"/>
                          <w:jc w:val="both"/>
                          <w:rPr>
                            <w:rFonts w:ascii="Times New Roman" w:eastAsia="Times New Roman" w:hAnsi="Times New Roman" w:cs="Times New Roman"/>
                            <w:color w:val="333333"/>
                            <w:sz w:val="13"/>
                            <w:szCs w:val="13"/>
                            <w:lang w:eastAsia="nl-BE"/>
                          </w:rPr>
                        </w:pPr>
                        <w:r w:rsidRPr="0020431B">
                          <w:rPr>
                            <w:rFonts w:ascii="Verdana" w:eastAsia="Times New Roman" w:hAnsi="Verdana" w:cs="Times New Roman"/>
                            <w:b/>
                            <w:bCs/>
                            <w:color w:val="003269"/>
                            <w:sz w:val="13"/>
                            <w:szCs w:val="13"/>
                            <w:lang w:eastAsia="nl-BE"/>
                          </w:rPr>
                          <w:t>Een uniform tarief</w:t>
                        </w:r>
                        <w:r w:rsidRPr="0020431B">
                          <w:rPr>
                            <w:rFonts w:ascii="Verdana" w:eastAsia="Times New Roman" w:hAnsi="Verdana" w:cs="Times New Roman"/>
                            <w:color w:val="003269"/>
                            <w:sz w:val="13"/>
                            <w:lang w:eastAsia="nl-BE"/>
                          </w:rPr>
                          <w:t> </w:t>
                        </w:r>
                        <w:r w:rsidRPr="0020431B">
                          <w:rPr>
                            <w:rFonts w:ascii="Verdana" w:eastAsia="Times New Roman" w:hAnsi="Verdana" w:cs="Times New Roman"/>
                            <w:color w:val="003269"/>
                            <w:sz w:val="13"/>
                            <w:szCs w:val="13"/>
                            <w:lang w:eastAsia="nl-BE"/>
                          </w:rPr>
                          <w:t>per jurisdictie en per rechtbank. Voorheen was er een verschillend tarief voor de inschrijving op de algemene rol of op de bijzondere rollen. (bv. rol voor kort geding, rol voor verzoekschriften);</w:t>
                        </w:r>
                      </w:p>
                      <w:p w:rsidR="0020431B" w:rsidRPr="0020431B" w:rsidRDefault="0020431B" w:rsidP="0020431B">
                        <w:pPr>
                          <w:numPr>
                            <w:ilvl w:val="0"/>
                            <w:numId w:val="1"/>
                          </w:numPr>
                          <w:spacing w:after="240" w:line="360" w:lineRule="atLeast"/>
                          <w:ind w:left="432"/>
                          <w:jc w:val="both"/>
                          <w:rPr>
                            <w:rFonts w:ascii="Times New Roman" w:eastAsia="Times New Roman" w:hAnsi="Times New Roman" w:cs="Times New Roman"/>
                            <w:color w:val="333333"/>
                            <w:sz w:val="13"/>
                            <w:szCs w:val="13"/>
                            <w:lang w:eastAsia="nl-BE"/>
                          </w:rPr>
                        </w:pPr>
                        <w:r w:rsidRPr="0020431B">
                          <w:rPr>
                            <w:rFonts w:ascii="Verdana" w:eastAsia="Times New Roman" w:hAnsi="Verdana" w:cs="Times New Roman"/>
                            <w:b/>
                            <w:bCs/>
                            <w:color w:val="003269"/>
                            <w:sz w:val="13"/>
                            <w:szCs w:val="13"/>
                            <w:lang w:eastAsia="nl-BE"/>
                          </w:rPr>
                          <w:t>exponentiële algemene verhoging</w:t>
                        </w:r>
                        <w:r w:rsidRPr="0020431B">
                          <w:rPr>
                            <w:rFonts w:ascii="Verdana" w:eastAsia="Times New Roman" w:hAnsi="Verdana" w:cs="Times New Roman"/>
                            <w:color w:val="003269"/>
                            <w:sz w:val="13"/>
                            <w:lang w:eastAsia="nl-BE"/>
                          </w:rPr>
                          <w:t> </w:t>
                        </w:r>
                        <w:r w:rsidRPr="0020431B">
                          <w:rPr>
                            <w:rFonts w:ascii="Verdana" w:eastAsia="Times New Roman" w:hAnsi="Verdana" w:cs="Times New Roman"/>
                            <w:color w:val="003269"/>
                            <w:sz w:val="13"/>
                            <w:szCs w:val="13"/>
                            <w:lang w:eastAsia="nl-BE"/>
                          </w:rPr>
                          <w:t>van de rolrechten. De bedragen variëren van 40 EUR tot 1.200 EUR;</w:t>
                        </w:r>
                        <w:r w:rsidRPr="0020431B">
                          <w:rPr>
                            <w:rFonts w:ascii="Verdana" w:eastAsia="Times New Roman" w:hAnsi="Verdana" w:cs="Times New Roman"/>
                            <w:color w:val="003269"/>
                            <w:sz w:val="13"/>
                            <w:lang w:eastAsia="nl-BE"/>
                          </w:rPr>
                          <w:t> </w:t>
                        </w:r>
                      </w:p>
                      <w:p w:rsidR="0020431B" w:rsidRPr="0020431B" w:rsidRDefault="0020431B" w:rsidP="0020431B">
                        <w:pPr>
                          <w:numPr>
                            <w:ilvl w:val="0"/>
                            <w:numId w:val="1"/>
                          </w:numPr>
                          <w:spacing w:after="240" w:line="360" w:lineRule="atLeast"/>
                          <w:ind w:left="432"/>
                          <w:jc w:val="both"/>
                          <w:rPr>
                            <w:rFonts w:ascii="Times New Roman" w:eastAsia="Times New Roman" w:hAnsi="Times New Roman" w:cs="Times New Roman"/>
                            <w:color w:val="333333"/>
                            <w:sz w:val="13"/>
                            <w:szCs w:val="13"/>
                            <w:lang w:eastAsia="nl-BE"/>
                          </w:rPr>
                        </w:pPr>
                        <w:r w:rsidRPr="0020431B">
                          <w:rPr>
                            <w:rFonts w:ascii="Verdana" w:eastAsia="Times New Roman" w:hAnsi="Verdana" w:cs="Times New Roman"/>
                            <w:color w:val="003269"/>
                            <w:sz w:val="13"/>
                            <w:szCs w:val="13"/>
                            <w:lang w:eastAsia="nl-BE"/>
                          </w:rPr>
                          <w:t>de koppeling met het</w:t>
                        </w:r>
                        <w:r w:rsidRPr="0020431B">
                          <w:rPr>
                            <w:rFonts w:ascii="Verdana" w:eastAsia="Times New Roman" w:hAnsi="Verdana" w:cs="Times New Roman"/>
                            <w:color w:val="003269"/>
                            <w:sz w:val="13"/>
                            <w:lang w:eastAsia="nl-BE"/>
                          </w:rPr>
                          <w:t> </w:t>
                        </w:r>
                        <w:r w:rsidRPr="0020431B">
                          <w:rPr>
                            <w:rFonts w:ascii="Verdana" w:eastAsia="Times New Roman" w:hAnsi="Verdana" w:cs="Times New Roman"/>
                            <w:b/>
                            <w:bCs/>
                            <w:color w:val="003269"/>
                            <w:sz w:val="13"/>
                            <w:szCs w:val="13"/>
                            <w:lang w:eastAsia="nl-BE"/>
                          </w:rPr>
                          <w:t>bedrag van de vordering</w:t>
                        </w:r>
                        <w:r w:rsidRPr="0020431B">
                          <w:rPr>
                            <w:rFonts w:ascii="Verdana" w:eastAsia="Times New Roman" w:hAnsi="Verdana" w:cs="Times New Roman"/>
                            <w:color w:val="003269"/>
                            <w:sz w:val="13"/>
                            <w:szCs w:val="13"/>
                            <w:lang w:eastAsia="nl-BE"/>
                          </w:rPr>
                          <w:t>, met andere woorden de schatting van de definitieve vergoeding van de eisende partij. Zo zullen de rolrechten dus hoger zijn voor een zaak van 5.000 EUR dan voor een zaak van 1.000 EUR, zelfs als dezelfde rechtbank deze dossiers behandelt;</w:t>
                        </w:r>
                      </w:p>
                      <w:p w:rsidR="0020431B" w:rsidRPr="0020431B" w:rsidRDefault="0020431B" w:rsidP="0020431B">
                        <w:pPr>
                          <w:numPr>
                            <w:ilvl w:val="0"/>
                            <w:numId w:val="1"/>
                          </w:numPr>
                          <w:spacing w:after="240" w:line="360" w:lineRule="atLeast"/>
                          <w:ind w:left="432"/>
                          <w:jc w:val="both"/>
                          <w:rPr>
                            <w:rFonts w:ascii="Times New Roman" w:eastAsia="Times New Roman" w:hAnsi="Times New Roman" w:cs="Times New Roman"/>
                            <w:color w:val="333333"/>
                            <w:sz w:val="13"/>
                            <w:szCs w:val="13"/>
                            <w:lang w:eastAsia="nl-BE"/>
                          </w:rPr>
                        </w:pPr>
                        <w:r w:rsidRPr="0020431B">
                          <w:rPr>
                            <w:rFonts w:ascii="Verdana" w:eastAsia="Times New Roman" w:hAnsi="Verdana" w:cs="Times New Roman"/>
                            <w:color w:val="003269"/>
                            <w:sz w:val="13"/>
                            <w:szCs w:val="13"/>
                            <w:lang w:eastAsia="nl-BE"/>
                          </w:rPr>
                          <w:t>bij het neerleggen van het dossier moet de eiser een</w:t>
                        </w:r>
                        <w:r w:rsidRPr="0020431B">
                          <w:rPr>
                            <w:rFonts w:ascii="Verdana" w:eastAsia="Times New Roman" w:hAnsi="Verdana" w:cs="Times New Roman"/>
                            <w:color w:val="003269"/>
                            <w:sz w:val="13"/>
                            <w:lang w:eastAsia="nl-BE"/>
                          </w:rPr>
                          <w:t> </w:t>
                        </w:r>
                        <w:r w:rsidRPr="0020431B">
                          <w:rPr>
                            <w:rFonts w:ascii="Verdana" w:eastAsia="Times New Roman" w:hAnsi="Verdana" w:cs="Times New Roman"/>
                            <w:b/>
                            <w:bCs/>
                            <w:color w:val="003269"/>
                            <w:sz w:val="13"/>
                            <w:szCs w:val="13"/>
                            <w:lang w:eastAsia="nl-BE"/>
                          </w:rPr>
                          <w:t xml:space="preserve">verklaring pro </w:t>
                        </w:r>
                        <w:proofErr w:type="spellStart"/>
                        <w:r w:rsidRPr="0020431B">
                          <w:rPr>
                            <w:rFonts w:ascii="Verdana" w:eastAsia="Times New Roman" w:hAnsi="Verdana" w:cs="Times New Roman"/>
                            <w:b/>
                            <w:bCs/>
                            <w:color w:val="003269"/>
                            <w:sz w:val="13"/>
                            <w:szCs w:val="13"/>
                            <w:lang w:eastAsia="nl-BE"/>
                          </w:rPr>
                          <w:t>fisco</w:t>
                        </w:r>
                        <w:proofErr w:type="spellEnd"/>
                        <w:r w:rsidRPr="0020431B">
                          <w:rPr>
                            <w:rFonts w:ascii="Verdana" w:eastAsia="Times New Roman" w:hAnsi="Verdana" w:cs="Times New Roman"/>
                            <w:b/>
                            <w:bCs/>
                            <w:color w:val="003269"/>
                            <w:sz w:val="13"/>
                            <w:szCs w:val="13"/>
                            <w:lang w:eastAsia="nl-BE"/>
                          </w:rPr>
                          <w:t xml:space="preserve"> afleggen</w:t>
                        </w:r>
                        <w:r w:rsidRPr="0020431B">
                          <w:rPr>
                            <w:rFonts w:ascii="Verdana" w:eastAsia="Times New Roman" w:hAnsi="Verdana" w:cs="Times New Roman"/>
                            <w:color w:val="003269"/>
                            <w:sz w:val="13"/>
                            <w:lang w:eastAsia="nl-BE"/>
                          </w:rPr>
                          <w:t> </w:t>
                        </w:r>
                        <w:r w:rsidRPr="0020431B">
                          <w:rPr>
                            <w:rFonts w:ascii="Verdana" w:eastAsia="Times New Roman" w:hAnsi="Verdana" w:cs="Times New Roman"/>
                            <w:color w:val="003269"/>
                            <w:sz w:val="13"/>
                            <w:szCs w:val="13"/>
                            <w:lang w:eastAsia="nl-BE"/>
                          </w:rPr>
                          <w:t>met een redelijke schatting van de definitieve vordering;</w:t>
                        </w:r>
                      </w:p>
                      <w:p w:rsidR="0020431B" w:rsidRPr="0020431B" w:rsidRDefault="0020431B" w:rsidP="0020431B">
                        <w:pPr>
                          <w:numPr>
                            <w:ilvl w:val="0"/>
                            <w:numId w:val="1"/>
                          </w:numPr>
                          <w:spacing w:after="0" w:line="360" w:lineRule="atLeast"/>
                          <w:ind w:left="432"/>
                          <w:jc w:val="both"/>
                          <w:rPr>
                            <w:rFonts w:ascii="Times New Roman" w:eastAsia="Times New Roman" w:hAnsi="Times New Roman" w:cs="Times New Roman"/>
                            <w:color w:val="333333"/>
                            <w:sz w:val="13"/>
                            <w:szCs w:val="13"/>
                            <w:lang w:eastAsia="nl-BE"/>
                          </w:rPr>
                        </w:pPr>
                        <w:r w:rsidRPr="0020431B">
                          <w:rPr>
                            <w:rFonts w:ascii="Verdana" w:eastAsia="Times New Roman" w:hAnsi="Verdana" w:cs="Times New Roman"/>
                            <w:color w:val="003269"/>
                            <w:sz w:val="13"/>
                            <w:szCs w:val="13"/>
                            <w:lang w:eastAsia="nl-BE"/>
                          </w:rPr>
                          <w:t>de inning van de taks per</w:t>
                        </w:r>
                        <w:r w:rsidRPr="0020431B">
                          <w:rPr>
                            <w:rFonts w:ascii="Verdana" w:eastAsia="Times New Roman" w:hAnsi="Verdana" w:cs="Times New Roman"/>
                            <w:color w:val="003269"/>
                            <w:sz w:val="13"/>
                            <w:lang w:eastAsia="nl-BE"/>
                          </w:rPr>
                          <w:t> </w:t>
                        </w:r>
                        <w:r w:rsidRPr="0020431B">
                          <w:rPr>
                            <w:rFonts w:ascii="Verdana" w:eastAsia="Times New Roman" w:hAnsi="Verdana" w:cs="Times New Roman"/>
                            <w:b/>
                            <w:bCs/>
                            <w:color w:val="003269"/>
                            <w:sz w:val="13"/>
                            <w:szCs w:val="13"/>
                            <w:lang w:eastAsia="nl-BE"/>
                          </w:rPr>
                          <w:t>« eiser</w:t>
                        </w:r>
                        <w:r w:rsidRPr="0020431B">
                          <w:rPr>
                            <w:rFonts w:ascii="Verdana" w:eastAsia="Times New Roman" w:hAnsi="Verdana" w:cs="Times New Roman"/>
                            <w:color w:val="003269"/>
                            <w:sz w:val="13"/>
                            <w:lang w:eastAsia="nl-BE"/>
                          </w:rPr>
                          <w:t> </w:t>
                        </w:r>
                        <w:r w:rsidRPr="0020431B">
                          <w:rPr>
                            <w:rFonts w:ascii="Verdana" w:eastAsia="Times New Roman" w:hAnsi="Verdana" w:cs="Times New Roman"/>
                            <w:color w:val="003269"/>
                            <w:sz w:val="13"/>
                            <w:szCs w:val="13"/>
                            <w:lang w:eastAsia="nl-BE"/>
                          </w:rPr>
                          <w:t>»: alle fysische en juridische personen moeten rolrechten betalen in verhouding tot hun eigen definitieve eis. Voorheen gold de inschrijving per « zaak ».</w:t>
                        </w:r>
                      </w:p>
                      <w:p w:rsidR="0020431B" w:rsidRPr="0020431B" w:rsidRDefault="0020431B" w:rsidP="0020431B">
                        <w:pPr>
                          <w:spacing w:after="0" w:line="360" w:lineRule="atLeast"/>
                          <w:jc w:val="both"/>
                          <w:rPr>
                            <w:rFonts w:ascii="Times New Roman" w:eastAsia="Times New Roman" w:hAnsi="Times New Roman" w:cs="Times New Roman"/>
                            <w:color w:val="333333"/>
                            <w:sz w:val="13"/>
                            <w:szCs w:val="13"/>
                            <w:lang w:eastAsia="nl-BE"/>
                          </w:rPr>
                        </w:pPr>
                        <w:r w:rsidRPr="0020431B">
                          <w:rPr>
                            <w:rFonts w:ascii="Times New Roman" w:eastAsia="Times New Roman" w:hAnsi="Times New Roman" w:cs="Times New Roman"/>
                            <w:color w:val="333333"/>
                            <w:sz w:val="13"/>
                            <w:szCs w:val="13"/>
                            <w:lang w:eastAsia="nl-BE"/>
                          </w:rPr>
                          <w:br/>
                        </w:r>
                        <w:r w:rsidRPr="0020431B">
                          <w:rPr>
                            <w:rFonts w:ascii="Times New Roman" w:eastAsia="Times New Roman" w:hAnsi="Times New Roman" w:cs="Times New Roman"/>
                            <w:color w:val="333333"/>
                            <w:sz w:val="13"/>
                            <w:szCs w:val="13"/>
                            <w:lang w:eastAsia="nl-BE"/>
                          </w:rPr>
                          <w:br/>
                        </w:r>
                      </w:p>
                    </w:tc>
                  </w:tr>
                </w:tbl>
                <w:p w:rsidR="0020431B" w:rsidRPr="0020431B" w:rsidRDefault="0020431B" w:rsidP="0020431B">
                  <w:pPr>
                    <w:spacing w:after="0" w:line="360" w:lineRule="atLeast"/>
                    <w:jc w:val="both"/>
                    <w:rPr>
                      <w:rFonts w:ascii="Times New Roman" w:eastAsia="Times New Roman" w:hAnsi="Times New Roman" w:cs="Times New Roman"/>
                      <w:color w:val="000000"/>
                      <w:sz w:val="13"/>
                      <w:szCs w:val="13"/>
                      <w:lang w:eastAsia="nl-BE"/>
                    </w:rPr>
                  </w:pPr>
                </w:p>
              </w:tc>
            </w:tr>
          </w:tbl>
          <w:p w:rsidR="0020431B" w:rsidRPr="0020431B" w:rsidRDefault="0020431B" w:rsidP="0020431B">
            <w:pPr>
              <w:spacing w:after="0" w:line="360" w:lineRule="atLeast"/>
              <w:rPr>
                <w:rFonts w:ascii="Times New Roman" w:eastAsia="Times New Roman" w:hAnsi="Times New Roman" w:cs="Times New Roman"/>
                <w:color w:val="333333"/>
                <w:sz w:val="13"/>
                <w:szCs w:val="13"/>
                <w:lang w:eastAsia="nl-BE"/>
              </w:rPr>
            </w:pPr>
          </w:p>
        </w:tc>
      </w:tr>
    </w:tbl>
    <w:p w:rsidR="00F507AB" w:rsidRDefault="00F507AB"/>
    <w:sectPr w:rsidR="00F507AB" w:rsidSect="00F507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68F"/>
    <w:multiLevelType w:val="multilevel"/>
    <w:tmpl w:val="CB9C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0431B"/>
    <w:rsid w:val="0020431B"/>
    <w:rsid w:val="00F507A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07AB"/>
  </w:style>
  <w:style w:type="paragraph" w:styleId="Kop3">
    <w:name w:val="heading 3"/>
    <w:basedOn w:val="Standaard"/>
    <w:link w:val="Kop3Char"/>
    <w:uiPriority w:val="9"/>
    <w:qFormat/>
    <w:rsid w:val="0020431B"/>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0431B"/>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20431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20431B"/>
    <w:rPr>
      <w:color w:val="0000FF"/>
      <w:u w:val="single"/>
    </w:rPr>
  </w:style>
  <w:style w:type="character" w:customStyle="1" w:styleId="apple-converted-space">
    <w:name w:val="apple-converted-space"/>
    <w:basedOn w:val="Standaardalinea-lettertype"/>
    <w:rsid w:val="0020431B"/>
  </w:style>
  <w:style w:type="paragraph" w:styleId="Ballontekst">
    <w:name w:val="Balloon Text"/>
    <w:basedOn w:val="Standaard"/>
    <w:link w:val="BallontekstChar"/>
    <w:uiPriority w:val="99"/>
    <w:semiHidden/>
    <w:unhideWhenUsed/>
    <w:rsid w:val="002043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43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343245">
      <w:bodyDiv w:val="1"/>
      <w:marLeft w:val="0"/>
      <w:marRight w:val="0"/>
      <w:marTop w:val="0"/>
      <w:marBottom w:val="0"/>
      <w:divBdr>
        <w:top w:val="none" w:sz="0" w:space="0" w:color="auto"/>
        <w:left w:val="none" w:sz="0" w:space="0" w:color="auto"/>
        <w:bottom w:val="none" w:sz="0" w:space="0" w:color="auto"/>
        <w:right w:val="none" w:sz="0" w:space="0" w:color="auto"/>
      </w:divBdr>
      <w:divsChild>
        <w:div w:id="277105669">
          <w:marLeft w:val="0"/>
          <w:marRight w:val="0"/>
          <w:marTop w:val="0"/>
          <w:marBottom w:val="0"/>
          <w:divBdr>
            <w:top w:val="none" w:sz="0" w:space="0" w:color="auto"/>
            <w:left w:val="none" w:sz="0" w:space="0" w:color="auto"/>
            <w:bottom w:val="none" w:sz="0" w:space="0" w:color="auto"/>
            <w:right w:val="none" w:sz="0" w:space="0" w:color="auto"/>
          </w:divBdr>
          <w:divsChild>
            <w:div w:id="638072536">
              <w:marLeft w:val="0"/>
              <w:marRight w:val="0"/>
              <w:marTop w:val="0"/>
              <w:marBottom w:val="0"/>
              <w:divBdr>
                <w:top w:val="none" w:sz="0" w:space="0" w:color="auto"/>
                <w:left w:val="none" w:sz="0" w:space="0" w:color="auto"/>
                <w:bottom w:val="none" w:sz="0" w:space="0" w:color="auto"/>
                <w:right w:val="none" w:sz="0" w:space="0" w:color="auto"/>
              </w:divBdr>
            </w:div>
          </w:divsChild>
        </w:div>
        <w:div w:id="1427918086">
          <w:marLeft w:val="0"/>
          <w:marRight w:val="0"/>
          <w:marTop w:val="480"/>
          <w:marBottom w:val="480"/>
          <w:divBdr>
            <w:top w:val="none" w:sz="0" w:space="0" w:color="auto"/>
            <w:left w:val="none" w:sz="0" w:space="0" w:color="auto"/>
            <w:bottom w:val="dotted" w:sz="4" w:space="24" w:color="B8B8B8"/>
            <w:right w:val="none" w:sz="0" w:space="0" w:color="auto"/>
          </w:divBdr>
          <w:divsChild>
            <w:div w:id="363137794">
              <w:marLeft w:val="0"/>
              <w:marRight w:val="0"/>
              <w:marTop w:val="0"/>
              <w:marBottom w:val="0"/>
              <w:divBdr>
                <w:top w:val="none" w:sz="0" w:space="0" w:color="auto"/>
                <w:left w:val="none" w:sz="0" w:space="0" w:color="auto"/>
                <w:bottom w:val="none" w:sz="0" w:space="0" w:color="auto"/>
                <w:right w:val="none" w:sz="0" w:space="0" w:color="auto"/>
              </w:divBdr>
              <w:divsChild>
                <w:div w:id="1163857921">
                  <w:marLeft w:val="-54"/>
                  <w:marRight w:val="0"/>
                  <w:marTop w:val="0"/>
                  <w:marBottom w:val="0"/>
                  <w:divBdr>
                    <w:top w:val="none" w:sz="0" w:space="0" w:color="auto"/>
                    <w:left w:val="none" w:sz="0" w:space="0" w:color="auto"/>
                    <w:bottom w:val="none" w:sz="0" w:space="0" w:color="auto"/>
                    <w:right w:val="none" w:sz="0" w:space="0" w:color="auto"/>
                  </w:divBdr>
                  <w:divsChild>
                    <w:div w:id="90511300">
                      <w:marLeft w:val="0"/>
                      <w:marRight w:val="0"/>
                      <w:marTop w:val="0"/>
                      <w:marBottom w:val="0"/>
                      <w:divBdr>
                        <w:top w:val="none" w:sz="0" w:space="0" w:color="auto"/>
                        <w:left w:val="none" w:sz="0" w:space="0" w:color="auto"/>
                        <w:bottom w:val="none" w:sz="0" w:space="0" w:color="auto"/>
                        <w:right w:val="none" w:sz="0" w:space="0" w:color="auto"/>
                      </w:divBdr>
                      <w:divsChild>
                        <w:div w:id="1911384965">
                          <w:marLeft w:val="0"/>
                          <w:marRight w:val="0"/>
                          <w:marTop w:val="0"/>
                          <w:marBottom w:val="0"/>
                          <w:divBdr>
                            <w:top w:val="none" w:sz="0" w:space="0" w:color="auto"/>
                            <w:left w:val="none" w:sz="0" w:space="0" w:color="auto"/>
                            <w:bottom w:val="none" w:sz="0" w:space="0" w:color="auto"/>
                            <w:right w:val="none" w:sz="0" w:space="0" w:color="auto"/>
                          </w:divBdr>
                          <w:divsChild>
                            <w:div w:id="223415603">
                              <w:marLeft w:val="0"/>
                              <w:marRight w:val="0"/>
                              <w:marTop w:val="0"/>
                              <w:marBottom w:val="0"/>
                              <w:divBdr>
                                <w:top w:val="none" w:sz="0" w:space="0" w:color="auto"/>
                                <w:left w:val="none" w:sz="0" w:space="0" w:color="auto"/>
                                <w:bottom w:val="none" w:sz="0" w:space="0" w:color="auto"/>
                                <w:right w:val="none" w:sz="0" w:space="0" w:color="auto"/>
                              </w:divBdr>
                              <w:divsChild>
                                <w:div w:id="919676220">
                                  <w:marLeft w:val="0"/>
                                  <w:marRight w:val="0"/>
                                  <w:marTop w:val="0"/>
                                  <w:marBottom w:val="0"/>
                                  <w:divBdr>
                                    <w:top w:val="none" w:sz="0" w:space="0" w:color="auto"/>
                                    <w:left w:val="none" w:sz="0" w:space="0" w:color="auto"/>
                                    <w:bottom w:val="none" w:sz="0" w:space="0" w:color="auto"/>
                                    <w:right w:val="none" w:sz="0" w:space="0" w:color="auto"/>
                                  </w:divBdr>
                                  <w:divsChild>
                                    <w:div w:id="14718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2190</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Lenssen</dc:creator>
  <cp:lastModifiedBy>Paul Lenssen</cp:lastModifiedBy>
  <cp:revision>1</cp:revision>
  <dcterms:created xsi:type="dcterms:W3CDTF">2015-07-15T13:33:00Z</dcterms:created>
  <dcterms:modified xsi:type="dcterms:W3CDTF">2015-07-15T13:34:00Z</dcterms:modified>
</cp:coreProperties>
</file>